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附件2</w:t>
      </w: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                                    单位：万元</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noWrap w:val="0"/>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138</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31067.687641</w:t>
            </w:r>
          </w:p>
        </w:tc>
        <w:tc>
          <w:tcPr>
            <w:tcW w:w="3807" w:type="dxa"/>
            <w:gridSpan w:val="2"/>
            <w:noWrap w:val="0"/>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43241.288224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noWrap w:val="0"/>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noWrap w:val="0"/>
            <w:vAlign w:val="top"/>
          </w:tcPr>
          <w:p>
            <w:pPr>
              <w:spacing w:line="584" w:lineRule="exact"/>
              <w:jc w:val="center"/>
              <w:rPr>
                <w:rFonts w:hint="eastAsia" w:eastAsia="仿宋_GB2312"/>
                <w:color w:val="000000"/>
                <w:kern w:val="0"/>
                <w:sz w:val="32"/>
                <w:szCs w:val="32"/>
                <w:lang w:val="en-US" w:eastAsia="zh-CN"/>
              </w:rPr>
            </w:pPr>
          </w:p>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137</w:t>
            </w:r>
          </w:p>
        </w:tc>
        <w:tc>
          <w:tcPr>
            <w:tcW w:w="2021" w:type="dxa"/>
            <w:tcBorders>
              <w:bottom w:val="single" w:color="auto" w:sz="4" w:space="0"/>
              <w:right w:val="single" w:color="auto" w:sz="4" w:space="0"/>
            </w:tcBorders>
            <w:noWrap w:val="0"/>
            <w:vAlign w:val="top"/>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top w:val="single" w:color="auto" w:sz="4" w:space="0"/>
              <w:right w:val="single" w:color="auto" w:sz="4" w:space="0"/>
            </w:tcBorders>
            <w:noWrap w:val="0"/>
            <w:vAlign w:val="top"/>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noWrap w:val="0"/>
            <w:vAlign w:val="top"/>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noWrap w:val="0"/>
            <w:vAlign w:val="top"/>
          </w:tcPr>
          <w:p/>
        </w:tc>
        <w:tc>
          <w:tcPr>
            <w:tcW w:w="2161" w:type="dxa"/>
            <w:vMerge w:val="continue"/>
            <w:noWrap w:val="0"/>
            <w:vAlign w:val="top"/>
          </w:tcPr>
          <w:p/>
        </w:tc>
        <w:tc>
          <w:tcPr>
            <w:tcW w:w="2021" w:type="dxa"/>
            <w:tcBorders>
              <w:right w:val="single" w:color="auto" w:sz="4" w:space="0"/>
            </w:tcBorders>
            <w:noWrap w:val="0"/>
            <w:vAlign w:val="top"/>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noWrap w:val="0"/>
            <w:vAlign w:val="top"/>
          </w:tcPr>
          <w:p>
            <w:pPr>
              <w:spacing w:line="584" w:lineRule="exact"/>
              <w:jc w:val="center"/>
              <w:rPr>
                <w:rFonts w:hint="default" w:eastAsia="仿宋_GB2312"/>
                <w:color w:val="000000"/>
                <w:kern w:val="0"/>
                <w:sz w:val="32"/>
                <w:szCs w:val="32"/>
                <w:lang w:val="en-US" w:eastAsia="zh-CN"/>
              </w:rPr>
            </w:pPr>
          </w:p>
        </w:tc>
      </w:tr>
    </w:tbl>
    <w:p>
      <w:pPr>
        <w:spacing w:line="584" w:lineRule="exact"/>
        <w:rPr>
          <w:rFonts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00"/>
          <w:kern w:val="0"/>
          <w:sz w:val="28"/>
          <w:szCs w:val="28"/>
          <w:lang w:val="en-US" w:eastAsia="zh-CN"/>
        </w:rPr>
      </w:pPr>
      <w:r>
        <w:rPr>
          <w:rFonts w:hint="eastAsia" w:ascii="仿宋_GB2312" w:eastAsia="仿宋_GB2312"/>
          <w:b/>
          <w:bCs/>
          <w:color w:val="000000"/>
          <w:kern w:val="0"/>
          <w:sz w:val="28"/>
          <w:szCs w:val="28"/>
          <w:lang w:val="en-US" w:eastAsia="zh-CN"/>
        </w:rPr>
        <w:t>说明</w:t>
      </w:r>
      <w:r>
        <w:rPr>
          <w:rFonts w:hint="eastAsia" w:ascii="仿宋_GB2312" w:eastAsia="仿宋_GB2312"/>
          <w:b/>
          <w:bCs/>
          <w:color w:val="000000"/>
          <w:kern w:val="0"/>
          <w:sz w:val="28"/>
          <w:szCs w:val="28"/>
          <w:lang w:eastAsia="zh-CN"/>
        </w:rPr>
        <w:t>：</w:t>
      </w:r>
      <w:r>
        <w:rPr>
          <w:rFonts w:hint="eastAsia" w:ascii="仿宋_GB2312" w:eastAsia="仿宋_GB2312"/>
          <w:color w:val="000000"/>
          <w:kern w:val="0"/>
          <w:sz w:val="28"/>
          <w:szCs w:val="28"/>
          <w:lang w:val="en-US" w:eastAsia="zh-CN"/>
        </w:rPr>
        <w:t>1.</w:t>
      </w:r>
      <w:r>
        <w:rPr>
          <w:rFonts w:hint="eastAsia" w:ascii="仿宋_GB2312" w:eastAsia="仿宋_GB2312"/>
          <w:color w:val="000000"/>
          <w:kern w:val="0"/>
          <w:sz w:val="28"/>
          <w:szCs w:val="28"/>
        </w:rPr>
        <w:t>资金总量的应评价数</w:t>
      </w:r>
      <w:r>
        <w:rPr>
          <w:rFonts w:hint="eastAsia" w:ascii="仿宋_GB2312" w:eastAsia="仿宋_GB2312"/>
          <w:color w:val="000000"/>
          <w:kern w:val="0"/>
          <w:sz w:val="28"/>
          <w:szCs w:val="28"/>
          <w:lang w:val="en-US" w:eastAsia="zh-CN"/>
        </w:rPr>
        <w:t>为所有项目的“项目支出绩效自评表”中“全年预算数”的总和；</w:t>
      </w:r>
      <w:r>
        <w:rPr>
          <w:rFonts w:hint="eastAsia" w:ascii="仿宋_GB2312" w:eastAsia="仿宋_GB2312"/>
          <w:color w:val="000000"/>
          <w:kern w:val="0"/>
          <w:sz w:val="28"/>
          <w:szCs w:val="28"/>
        </w:rPr>
        <w:t>已评价数为</w:t>
      </w:r>
      <w:r>
        <w:rPr>
          <w:rFonts w:hint="eastAsia" w:ascii="仿宋_GB2312" w:eastAsia="仿宋_GB2312"/>
          <w:color w:val="000000"/>
          <w:kern w:val="0"/>
          <w:sz w:val="28"/>
          <w:szCs w:val="28"/>
          <w:lang w:val="en-US" w:eastAsia="zh-CN"/>
        </w:rPr>
        <w:t>所有项目的“项目支出绩效自评表”中</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全年执行数</w:t>
      </w:r>
      <w:r>
        <w:rPr>
          <w:rFonts w:hint="eastAsia" w:ascii="仿宋_GB2312" w:eastAsia="仿宋_GB2312"/>
          <w:color w:val="000000"/>
          <w:kern w:val="0"/>
          <w:sz w:val="28"/>
          <w:szCs w:val="28"/>
          <w:lang w:eastAsia="zh-CN"/>
        </w:rPr>
        <w:t>”</w:t>
      </w:r>
      <w:r>
        <w:rPr>
          <w:rFonts w:hint="eastAsia" w:ascii="仿宋_GB2312" w:eastAsia="仿宋_GB2312"/>
          <w:color w:val="000000"/>
          <w:kern w:val="0"/>
          <w:sz w:val="28"/>
          <w:szCs w:val="28"/>
          <w:lang w:val="en-US" w:eastAsia="zh-CN"/>
        </w:rPr>
        <w:t>的总和。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仿宋_GB2312" w:eastAsia="仿宋_GB2312"/>
          <w:color w:val="000000"/>
          <w:kern w:val="0"/>
          <w:sz w:val="28"/>
          <w:szCs w:val="28"/>
        </w:rPr>
      </w:pPr>
      <w:r>
        <w:rPr>
          <w:rFonts w:hint="eastAsia" w:ascii="仿宋_GB2312" w:eastAsia="仿宋_GB2312"/>
          <w:color w:val="000000"/>
          <w:kern w:val="0"/>
          <w:sz w:val="28"/>
          <w:szCs w:val="28"/>
          <w:lang w:val="en-US" w:eastAsia="zh-CN"/>
        </w:rPr>
        <w:t>2.</w:t>
      </w:r>
      <w:r>
        <w:rPr>
          <w:rFonts w:hint="eastAsia" w:ascii="仿宋_GB2312" w:eastAsia="仿宋_GB2312"/>
          <w:color w:val="000000"/>
          <w:kern w:val="0"/>
          <w:sz w:val="28"/>
          <w:szCs w:val="28"/>
        </w:rPr>
        <w:t>严格按照实际确定项目评价分数，对于复核中分数差异过大的将酌情扣减评价项目分数或降低评价等级。</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eastAsia="仿宋_GB2312"/>
          <w:color w:val="000000"/>
          <w:kern w:val="0"/>
          <w:sz w:val="28"/>
          <w:szCs w:val="28"/>
          <w:lang w:val="en-US" w:eastAsia="zh-CN"/>
        </w:rPr>
        <w:t>3.</w:t>
      </w:r>
      <w:r>
        <w:rPr>
          <w:rFonts w:hint="eastAsia" w:ascii="仿宋_GB2312" w:hAnsi="仿宋_GB2312" w:eastAsia="仿宋_GB2312" w:cs="仿宋_GB2312"/>
          <w:sz w:val="28"/>
          <w:szCs w:val="28"/>
        </w:rPr>
        <w:t>绩效评价等级根据绩效自评得分</w:t>
      </w:r>
      <w:r>
        <w:rPr>
          <w:rFonts w:hint="eastAsia" w:ascii="仿宋_GB2312" w:hAnsi="仿宋_GB2312" w:eastAsia="仿宋_GB2312" w:cs="仿宋_GB2312"/>
          <w:bCs/>
          <w:sz w:val="28"/>
          <w:szCs w:val="28"/>
        </w:rPr>
        <w:t>划分四档：</w:t>
      </w:r>
      <w:r>
        <w:rPr>
          <w:rFonts w:hint="eastAsia" w:ascii="仿宋_GB2312" w:hAnsi="仿宋_GB2312" w:eastAsia="仿宋_GB2312" w:cs="仿宋_GB2312"/>
          <w:sz w:val="28"/>
          <w:szCs w:val="28"/>
        </w:rPr>
        <w:t>90（含）-100分为优、80（含）-90分为良、60（含）-80分为中、60分以下为差。</w:t>
      </w:r>
    </w:p>
    <w:p>
      <w:pPr>
        <w:widowControl/>
        <w:jc w:val="left"/>
        <w:rPr>
          <w:rFonts w:eastAsia="仿宋_GB2312"/>
          <w:color w:val="000000"/>
          <w:kern w:val="0"/>
          <w:sz w:val="24"/>
        </w:rPr>
        <w:sectPr>
          <w:pgSz w:w="11906" w:h="16838"/>
          <w:pgMar w:top="2154" w:right="1531" w:bottom="2041" w:left="1531"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OWRlN2FkZjllZTBiMTBlY2M4ZDViMDY2NTNiZTEifQ=="/>
  </w:docVars>
  <w:rsids>
    <w:rsidRoot w:val="00000000"/>
    <w:rsid w:val="628E3423"/>
    <w:rsid w:val="709F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248</Words>
  <Characters>293</Characters>
  <Lines>0</Lines>
  <Paragraphs>0</Paragraphs>
  <TotalTime>0</TotalTime>
  <ScaleCrop>false</ScaleCrop>
  <LinksUpToDate>false</LinksUpToDate>
  <CharactersWithSpaces>335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2023-04-03T04:35:34Z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B6BC5E2703C5419D91E1EDA46A371A8B</vt:lpwstr>
  </property>
</Properties>
</file>